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70A" w14:textId="77777777" w:rsidR="00446671" w:rsidRDefault="0065406B">
      <w:pPr>
        <w:pStyle w:val="BodyText"/>
        <w:ind w:left="4270"/>
        <w:rPr>
          <w:sz w:val="20"/>
        </w:rPr>
      </w:pPr>
      <w:r>
        <w:rPr>
          <w:noProof/>
          <w:sz w:val="20"/>
        </w:rPr>
        <w:drawing>
          <wp:inline distT="0" distB="0" distL="0" distR="0" wp14:anchorId="0441808D" wp14:editId="5FED5333">
            <wp:extent cx="787678" cy="782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78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B227" w14:textId="77777777" w:rsidR="00446671" w:rsidRDefault="0065406B">
      <w:pPr>
        <w:pStyle w:val="Title"/>
        <w:spacing w:before="64" w:line="322" w:lineRule="exact"/>
      </w:pPr>
      <w:bookmarkStart w:id="0" w:name="STATE_OF_WASHINGTON"/>
      <w:bookmarkEnd w:id="0"/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WASHINGTON</w:t>
      </w:r>
    </w:p>
    <w:p w14:paraId="6CB172DC" w14:textId="2A7044A0" w:rsidR="00446671" w:rsidRDefault="00940F82">
      <w:pPr>
        <w:pStyle w:val="Title"/>
        <w:ind w:left="2893"/>
      </w:pPr>
      <w:r>
        <w:t>Washington State School for the Blind</w:t>
      </w:r>
    </w:p>
    <w:p w14:paraId="6E9042F4" w14:textId="77777777" w:rsidR="00446671" w:rsidRDefault="0065406B">
      <w:pPr>
        <w:pStyle w:val="Heading1"/>
        <w:spacing w:line="274" w:lineRule="exact"/>
        <w:ind w:left="2891" w:right="2878" w:firstLine="0"/>
        <w:jc w:val="center"/>
      </w:pPr>
      <w:r>
        <w:t>SOLE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POSTING</w:t>
      </w:r>
    </w:p>
    <w:p w14:paraId="2F656D2C" w14:textId="77777777" w:rsidR="00446671" w:rsidRDefault="00446671">
      <w:pPr>
        <w:pStyle w:val="BodyText"/>
      </w:pPr>
    </w:p>
    <w:p w14:paraId="611A056D" w14:textId="468FA38D" w:rsidR="00446671" w:rsidRDefault="00940F82">
      <w:pPr>
        <w:ind w:left="119"/>
        <w:jc w:val="both"/>
        <w:rPr>
          <w:sz w:val="24"/>
        </w:rPr>
      </w:pPr>
      <w:r>
        <w:rPr>
          <w:sz w:val="24"/>
        </w:rPr>
        <w:t>March 3</w:t>
      </w:r>
      <w:r w:rsidRPr="00940F82">
        <w:rPr>
          <w:sz w:val="24"/>
          <w:vertAlign w:val="superscript"/>
        </w:rPr>
        <w:t>rd</w:t>
      </w:r>
      <w:r>
        <w:rPr>
          <w:sz w:val="24"/>
        </w:rPr>
        <w:t xml:space="preserve">, 2023 </w:t>
      </w:r>
    </w:p>
    <w:p w14:paraId="3E4F1BA3" w14:textId="77777777" w:rsidR="00446671" w:rsidRDefault="00446671">
      <w:pPr>
        <w:pStyle w:val="BodyText"/>
      </w:pPr>
    </w:p>
    <w:p w14:paraId="7BE40B69" w14:textId="1A421AB6" w:rsidR="00446671" w:rsidRDefault="0065406B">
      <w:pPr>
        <w:pStyle w:val="BodyText"/>
        <w:ind w:left="119" w:right="312"/>
      </w:pPr>
      <w:r>
        <w:t>The</w:t>
      </w:r>
      <w:r>
        <w:rPr>
          <w:spacing w:val="1"/>
        </w:rPr>
        <w:t xml:space="preserve"> </w:t>
      </w:r>
      <w:r w:rsidR="00940F82">
        <w:t>Washington State School for the Blind, hereto after referred to WSSB</w:t>
      </w:r>
      <w:r>
        <w:t>,</w:t>
      </w:r>
      <w:r>
        <w:rPr>
          <w:spacing w:val="1"/>
        </w:rPr>
        <w:t xml:space="preserve"> </w:t>
      </w:r>
      <w:r>
        <w:t>contemplates</w:t>
      </w:r>
      <w:r>
        <w:rPr>
          <w:spacing w:val="1"/>
        </w:rPr>
        <w:t xml:space="preserve"> </w:t>
      </w:r>
      <w:r>
        <w:t>awarding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940F82">
        <w:t>American Thermoform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-4"/>
        </w:rPr>
        <w:t xml:space="preserve"> </w:t>
      </w:r>
      <w:r w:rsidR="00940F82">
        <w:t xml:space="preserve">Braillo 600 S2 Braille Embosser. </w:t>
      </w:r>
    </w:p>
    <w:p w14:paraId="7696BB1E" w14:textId="77777777" w:rsidR="00446671" w:rsidRDefault="00446671">
      <w:pPr>
        <w:pStyle w:val="BodyText"/>
      </w:pPr>
    </w:p>
    <w:p w14:paraId="0F957765" w14:textId="4EBED879" w:rsidR="00446671" w:rsidRDefault="00940F82">
      <w:pPr>
        <w:pStyle w:val="BodyText"/>
        <w:tabs>
          <w:tab w:val="left" w:pos="1411"/>
          <w:tab w:val="left" w:pos="2475"/>
          <w:tab w:val="left" w:pos="4138"/>
          <w:tab w:val="left" w:pos="4953"/>
          <w:tab w:val="left" w:pos="6986"/>
          <w:tab w:val="left" w:pos="7748"/>
          <w:tab w:val="left" w:pos="8643"/>
        </w:tabs>
        <w:ind w:left="119" w:right="114"/>
      </w:pPr>
      <w:r>
        <w:t xml:space="preserve">WSSB </w:t>
      </w:r>
      <w:r w:rsidR="0065406B">
        <w:t>requires</w:t>
      </w:r>
      <w:r>
        <w:t xml:space="preserve"> the proposed Braillo 600 S2 braille embosser as to meet the rigorous demands of our high speed and </w:t>
      </w:r>
      <w:proofErr w:type="gramStart"/>
      <w:r>
        <w:t>high volume</w:t>
      </w:r>
      <w:proofErr w:type="gramEnd"/>
      <w:r>
        <w:t xml:space="preserve"> braille production.</w:t>
      </w:r>
      <w:r w:rsidR="007819F5">
        <w:t xml:space="preserve"> Any other embosser at lower price points would not qualify for our production needs or meet our standards.</w:t>
      </w:r>
      <w:r>
        <w:t xml:space="preserve"> </w:t>
      </w:r>
      <w:r w:rsidR="007819F5">
        <w:t xml:space="preserve">The Braillo 600 S2 embosser is only available at American Thermoform. </w:t>
      </w:r>
    </w:p>
    <w:p w14:paraId="74121D27" w14:textId="77777777" w:rsidR="00446671" w:rsidRDefault="00446671">
      <w:pPr>
        <w:pStyle w:val="BodyText"/>
      </w:pPr>
    </w:p>
    <w:p w14:paraId="27A66D57" w14:textId="245F6F71" w:rsidR="007819F5" w:rsidRPr="00735FF8" w:rsidRDefault="00735FF8">
      <w:pPr>
        <w:pStyle w:val="BodyText"/>
        <w:ind w:left="119" w:right="102"/>
        <w:jc w:val="both"/>
      </w:pPr>
      <w:r w:rsidRPr="00735FF8">
        <w:t xml:space="preserve">The purchase order is estimated to commence </w:t>
      </w:r>
      <w:r>
        <w:t>4/14/23</w:t>
      </w:r>
      <w:r w:rsidRPr="00735FF8">
        <w:t xml:space="preserve"> and end by </w:t>
      </w:r>
      <w:r>
        <w:t>5/31/23</w:t>
      </w:r>
      <w:r w:rsidRPr="00735FF8">
        <w:t xml:space="preserve"> with goods to all be delivered by that date</w:t>
      </w:r>
      <w:r>
        <w:t xml:space="preserve">. </w:t>
      </w:r>
      <w:r w:rsidR="0065406B" w:rsidRPr="00735FF8">
        <w:t>The</w:t>
      </w:r>
      <w:r w:rsidR="0065406B" w:rsidRPr="00735FF8">
        <w:rPr>
          <w:spacing w:val="-57"/>
        </w:rPr>
        <w:t xml:space="preserve"> </w:t>
      </w:r>
      <w:r w:rsidR="00A44911" w:rsidRPr="00735FF8">
        <w:rPr>
          <w:spacing w:val="-57"/>
        </w:rPr>
        <w:t xml:space="preserve">                 </w:t>
      </w:r>
      <w:r w:rsidR="007819F5" w:rsidRPr="00735FF8">
        <w:rPr>
          <w:spacing w:val="-57"/>
        </w:rPr>
        <w:t xml:space="preserve"> </w:t>
      </w:r>
      <w:r w:rsidR="0065406B" w:rsidRPr="00735FF8">
        <w:t>contract</w:t>
      </w:r>
      <w:r w:rsidR="0065406B" w:rsidRPr="00735FF8">
        <w:rPr>
          <w:spacing w:val="1"/>
        </w:rPr>
        <w:t xml:space="preserve"> </w:t>
      </w:r>
      <w:r w:rsidR="0065406B" w:rsidRPr="00735FF8">
        <w:t>will</w:t>
      </w:r>
      <w:r w:rsidR="0065406B" w:rsidRPr="00735FF8">
        <w:rPr>
          <w:spacing w:val="1"/>
        </w:rPr>
        <w:t xml:space="preserve"> </w:t>
      </w:r>
      <w:r w:rsidR="0065406B" w:rsidRPr="00735FF8">
        <w:t>be</w:t>
      </w:r>
      <w:r w:rsidR="0065406B" w:rsidRPr="00735FF8">
        <w:rPr>
          <w:spacing w:val="1"/>
        </w:rPr>
        <w:t xml:space="preserve"> </w:t>
      </w:r>
      <w:r w:rsidR="0065406B" w:rsidRPr="00735FF8">
        <w:t>issued</w:t>
      </w:r>
      <w:r w:rsidR="0065406B" w:rsidRPr="00735FF8">
        <w:rPr>
          <w:spacing w:val="1"/>
        </w:rPr>
        <w:t xml:space="preserve"> </w:t>
      </w:r>
      <w:r w:rsidR="0065406B" w:rsidRPr="00735FF8">
        <w:t>on</w:t>
      </w:r>
      <w:r w:rsidR="0065406B" w:rsidRPr="00735FF8">
        <w:rPr>
          <w:spacing w:val="1"/>
        </w:rPr>
        <w:t xml:space="preserve"> </w:t>
      </w:r>
      <w:r w:rsidR="0065406B" w:rsidRPr="00735FF8">
        <w:t>or after</w:t>
      </w:r>
      <w:r w:rsidR="007819F5" w:rsidRPr="00735FF8">
        <w:t xml:space="preserve"> April 14</w:t>
      </w:r>
      <w:r w:rsidR="007819F5" w:rsidRPr="00735FF8">
        <w:rPr>
          <w:vertAlign w:val="superscript"/>
        </w:rPr>
        <w:t>th</w:t>
      </w:r>
      <w:r w:rsidR="007819F5" w:rsidRPr="00735FF8">
        <w:t xml:space="preserve">, 2023. </w:t>
      </w:r>
      <w:r w:rsidR="0065406B" w:rsidRPr="00735FF8">
        <w:t>The</w:t>
      </w:r>
      <w:r w:rsidR="0065406B" w:rsidRPr="00735FF8">
        <w:rPr>
          <w:spacing w:val="60"/>
        </w:rPr>
        <w:t xml:space="preserve"> </w:t>
      </w:r>
      <w:r w:rsidR="0065406B" w:rsidRPr="00735FF8">
        <w:t>cost</w:t>
      </w:r>
      <w:r w:rsidR="0065406B" w:rsidRPr="00735FF8">
        <w:rPr>
          <w:spacing w:val="60"/>
        </w:rPr>
        <w:t xml:space="preserve"> </w:t>
      </w:r>
      <w:r w:rsidR="0065406B" w:rsidRPr="00735FF8">
        <w:t>of</w:t>
      </w:r>
      <w:r w:rsidR="0065406B" w:rsidRPr="00735FF8">
        <w:rPr>
          <w:spacing w:val="60"/>
        </w:rPr>
        <w:t xml:space="preserve"> </w:t>
      </w:r>
      <w:r w:rsidR="0065406B" w:rsidRPr="00735FF8">
        <w:t>this</w:t>
      </w:r>
      <w:r w:rsidR="007819F5" w:rsidRPr="00735FF8">
        <w:t xml:space="preserve"> </w:t>
      </w:r>
      <w:r w:rsidR="0065406B" w:rsidRPr="00735FF8">
        <w:t>contract</w:t>
      </w:r>
      <w:r w:rsidR="0065406B" w:rsidRPr="00735FF8">
        <w:rPr>
          <w:spacing w:val="60"/>
        </w:rPr>
        <w:t xml:space="preserve"> </w:t>
      </w:r>
      <w:r w:rsidR="0065406B" w:rsidRPr="00735FF8">
        <w:t>is</w:t>
      </w:r>
      <w:r w:rsidR="0065406B" w:rsidRPr="00735FF8">
        <w:rPr>
          <w:spacing w:val="60"/>
        </w:rPr>
        <w:t xml:space="preserve"> </w:t>
      </w:r>
      <w:r w:rsidR="0065406B" w:rsidRPr="00735FF8">
        <w:t>$</w:t>
      </w:r>
      <w:r w:rsidR="007819F5" w:rsidRPr="00735FF8">
        <w:t>46,421</w:t>
      </w:r>
      <w:r w:rsidR="0065406B" w:rsidRPr="00735FF8">
        <w:t>.</w:t>
      </w:r>
    </w:p>
    <w:p w14:paraId="60C7F54A" w14:textId="77777777" w:rsidR="00446671" w:rsidRPr="00735FF8" w:rsidRDefault="00446671">
      <w:pPr>
        <w:pStyle w:val="BodyText"/>
      </w:pPr>
    </w:p>
    <w:p w14:paraId="721A09B2" w14:textId="77777777" w:rsidR="00446671" w:rsidRPr="00735FF8" w:rsidRDefault="0065406B">
      <w:pPr>
        <w:pStyle w:val="BodyText"/>
        <w:ind w:left="119" w:right="102"/>
        <w:jc w:val="both"/>
      </w:pPr>
      <w:r w:rsidRPr="00735FF8">
        <w:t>Offerors</w:t>
      </w:r>
      <w:r w:rsidRPr="00735FF8">
        <w:rPr>
          <w:spacing w:val="61"/>
        </w:rPr>
        <w:t xml:space="preserve"> </w:t>
      </w:r>
      <w:r w:rsidRPr="00735FF8">
        <w:t>contemplating</w:t>
      </w:r>
      <w:r w:rsidRPr="00735FF8">
        <w:rPr>
          <w:spacing w:val="61"/>
        </w:rPr>
        <w:t xml:space="preserve"> </w:t>
      </w:r>
      <w:r w:rsidRPr="00735FF8">
        <w:t>the</w:t>
      </w:r>
      <w:r w:rsidRPr="00735FF8">
        <w:rPr>
          <w:spacing w:val="61"/>
        </w:rPr>
        <w:t xml:space="preserve"> </w:t>
      </w:r>
      <w:r w:rsidRPr="00735FF8">
        <w:t>above</w:t>
      </w:r>
      <w:r w:rsidRPr="00735FF8">
        <w:rPr>
          <w:spacing w:val="61"/>
        </w:rPr>
        <w:t xml:space="preserve"> </w:t>
      </w:r>
      <w:r w:rsidRPr="00735FF8">
        <w:t>requirements</w:t>
      </w:r>
      <w:r w:rsidRPr="00735FF8">
        <w:rPr>
          <w:spacing w:val="61"/>
        </w:rPr>
        <w:t xml:space="preserve"> </w:t>
      </w:r>
      <w:r w:rsidRPr="00735FF8">
        <w:t xml:space="preserve">are  </w:t>
      </w:r>
      <w:r w:rsidRPr="00735FF8">
        <w:rPr>
          <w:spacing w:val="1"/>
        </w:rPr>
        <w:t xml:space="preserve"> </w:t>
      </w:r>
      <w:r w:rsidRPr="00735FF8">
        <w:t xml:space="preserve">required  </w:t>
      </w:r>
      <w:r w:rsidRPr="00735FF8">
        <w:rPr>
          <w:spacing w:val="1"/>
        </w:rPr>
        <w:t xml:space="preserve"> </w:t>
      </w:r>
      <w:r w:rsidRPr="00735FF8">
        <w:t xml:space="preserve">to  </w:t>
      </w:r>
      <w:r w:rsidRPr="00735FF8">
        <w:rPr>
          <w:spacing w:val="1"/>
        </w:rPr>
        <w:t xml:space="preserve"> </w:t>
      </w:r>
      <w:r w:rsidRPr="00735FF8">
        <w:t xml:space="preserve">submit  </w:t>
      </w:r>
      <w:r w:rsidRPr="00735FF8">
        <w:rPr>
          <w:spacing w:val="1"/>
        </w:rPr>
        <w:t xml:space="preserve"> </w:t>
      </w:r>
      <w:r w:rsidRPr="00735FF8">
        <w:t>capability</w:t>
      </w:r>
      <w:r w:rsidRPr="00735FF8">
        <w:rPr>
          <w:spacing w:val="1"/>
        </w:rPr>
        <w:t xml:space="preserve"> </w:t>
      </w:r>
      <w:r w:rsidRPr="00735FF8">
        <w:t>statements</w:t>
      </w:r>
      <w:r w:rsidRPr="00735FF8">
        <w:rPr>
          <w:spacing w:val="1"/>
        </w:rPr>
        <w:t xml:space="preserve"> </w:t>
      </w:r>
      <w:r w:rsidRPr="00735FF8">
        <w:t>detailing</w:t>
      </w:r>
      <w:r w:rsidRPr="00735FF8">
        <w:rPr>
          <w:spacing w:val="1"/>
        </w:rPr>
        <w:t xml:space="preserve"> </w:t>
      </w:r>
      <w:r w:rsidRPr="00735FF8">
        <w:t>their</w:t>
      </w:r>
      <w:r w:rsidRPr="00735FF8">
        <w:rPr>
          <w:spacing w:val="1"/>
        </w:rPr>
        <w:t xml:space="preserve"> </w:t>
      </w:r>
      <w:r w:rsidRPr="00735FF8">
        <w:t>ability</w:t>
      </w:r>
      <w:r w:rsidRPr="00735FF8">
        <w:rPr>
          <w:spacing w:val="60"/>
        </w:rPr>
        <w:t xml:space="preserve"> </w:t>
      </w:r>
      <w:r w:rsidRPr="00735FF8">
        <w:t>to</w:t>
      </w:r>
      <w:r w:rsidRPr="00735FF8">
        <w:rPr>
          <w:spacing w:val="60"/>
        </w:rPr>
        <w:t xml:space="preserve"> </w:t>
      </w:r>
      <w:r w:rsidRPr="00735FF8">
        <w:t>meet</w:t>
      </w:r>
      <w:r w:rsidRPr="00735FF8">
        <w:rPr>
          <w:spacing w:val="60"/>
        </w:rPr>
        <w:t xml:space="preserve"> </w:t>
      </w:r>
      <w:r w:rsidRPr="00735FF8">
        <w:t>the</w:t>
      </w:r>
      <w:r w:rsidRPr="00735FF8">
        <w:rPr>
          <w:spacing w:val="60"/>
        </w:rPr>
        <w:t xml:space="preserve"> </w:t>
      </w:r>
      <w:r w:rsidRPr="00735FF8">
        <w:t>state’s</w:t>
      </w:r>
      <w:r w:rsidRPr="00735FF8">
        <w:rPr>
          <w:spacing w:val="60"/>
        </w:rPr>
        <w:t xml:space="preserve"> </w:t>
      </w:r>
      <w:r w:rsidRPr="00735FF8">
        <w:t>requirements</w:t>
      </w:r>
      <w:r w:rsidRPr="00735FF8">
        <w:rPr>
          <w:spacing w:val="60"/>
        </w:rPr>
        <w:t xml:space="preserve"> </w:t>
      </w:r>
      <w:r w:rsidRPr="00735FF8">
        <w:t>within</w:t>
      </w:r>
      <w:r w:rsidRPr="00735FF8">
        <w:rPr>
          <w:spacing w:val="60"/>
        </w:rPr>
        <w:t xml:space="preserve"> </w:t>
      </w:r>
      <w:r w:rsidRPr="00735FF8">
        <w:t>five</w:t>
      </w:r>
      <w:r w:rsidRPr="00735FF8">
        <w:rPr>
          <w:spacing w:val="60"/>
        </w:rPr>
        <w:t xml:space="preserve"> </w:t>
      </w:r>
      <w:r w:rsidRPr="00735FF8">
        <w:t>(5)</w:t>
      </w:r>
      <w:r w:rsidRPr="00735FF8">
        <w:rPr>
          <w:spacing w:val="60"/>
        </w:rPr>
        <w:t xml:space="preserve"> </w:t>
      </w:r>
      <w:r w:rsidRPr="00735FF8">
        <w:t>working</w:t>
      </w:r>
      <w:r w:rsidRPr="00735FF8">
        <w:rPr>
          <w:spacing w:val="1"/>
        </w:rPr>
        <w:t xml:space="preserve"> </w:t>
      </w:r>
      <w:r w:rsidRPr="00735FF8">
        <w:t>days</w:t>
      </w:r>
      <w:r w:rsidRPr="00735FF8">
        <w:rPr>
          <w:spacing w:val="3"/>
        </w:rPr>
        <w:t xml:space="preserve"> </w:t>
      </w:r>
      <w:r w:rsidRPr="00735FF8">
        <w:t>of</w:t>
      </w:r>
      <w:r w:rsidRPr="00735FF8">
        <w:rPr>
          <w:spacing w:val="3"/>
        </w:rPr>
        <w:t xml:space="preserve"> </w:t>
      </w:r>
      <w:r w:rsidRPr="00735FF8">
        <w:t>this</w:t>
      </w:r>
      <w:r w:rsidRPr="00735FF8">
        <w:rPr>
          <w:spacing w:val="3"/>
        </w:rPr>
        <w:t xml:space="preserve"> </w:t>
      </w:r>
      <w:r w:rsidRPr="00735FF8">
        <w:t>announcement.</w:t>
      </w:r>
    </w:p>
    <w:p w14:paraId="6BF2EE7E" w14:textId="77777777" w:rsidR="00446671" w:rsidRPr="00735FF8" w:rsidRDefault="00446671">
      <w:pPr>
        <w:pStyle w:val="BodyText"/>
        <w:spacing w:before="7"/>
      </w:pPr>
    </w:p>
    <w:p w14:paraId="61B4494A" w14:textId="77777777" w:rsidR="00446671" w:rsidRPr="00735FF8" w:rsidRDefault="0065406B">
      <w:pPr>
        <w:pStyle w:val="BodyText"/>
        <w:spacing w:before="1"/>
        <w:ind w:left="119"/>
        <w:jc w:val="both"/>
      </w:pPr>
      <w:r w:rsidRPr="00735FF8">
        <w:t>Capability</w:t>
      </w:r>
      <w:r w:rsidRPr="00735FF8">
        <w:rPr>
          <w:spacing w:val="-8"/>
        </w:rPr>
        <w:t xml:space="preserve"> </w:t>
      </w:r>
      <w:r w:rsidRPr="00735FF8">
        <w:t>statements</w:t>
      </w:r>
      <w:r w:rsidRPr="00735FF8">
        <w:rPr>
          <w:spacing w:val="-1"/>
        </w:rPr>
        <w:t xml:space="preserve"> </w:t>
      </w:r>
      <w:r w:rsidRPr="00735FF8">
        <w:t>should address the</w:t>
      </w:r>
      <w:r w:rsidRPr="00735FF8">
        <w:rPr>
          <w:spacing w:val="-2"/>
        </w:rPr>
        <w:t xml:space="preserve"> </w:t>
      </w:r>
      <w:r w:rsidRPr="00735FF8">
        <w:t>following</w:t>
      </w:r>
      <w:r w:rsidRPr="00735FF8">
        <w:rPr>
          <w:spacing w:val="-3"/>
        </w:rPr>
        <w:t xml:space="preserve"> </w:t>
      </w:r>
      <w:r w:rsidRPr="00735FF8">
        <w:t>state</w:t>
      </w:r>
      <w:r w:rsidRPr="00735FF8">
        <w:rPr>
          <w:spacing w:val="1"/>
        </w:rPr>
        <w:t xml:space="preserve"> </w:t>
      </w:r>
      <w:r w:rsidRPr="00735FF8">
        <w:t>requirements:</w:t>
      </w:r>
    </w:p>
    <w:p w14:paraId="7B983D96" w14:textId="3391F148" w:rsidR="00A44911" w:rsidRPr="00735FF8" w:rsidRDefault="00A44911" w:rsidP="00A44911">
      <w:pPr>
        <w:pStyle w:val="BodyText"/>
        <w:numPr>
          <w:ilvl w:val="0"/>
          <w:numId w:val="2"/>
        </w:numPr>
        <w:spacing w:before="4"/>
      </w:pPr>
      <w:r w:rsidRPr="00735FF8">
        <w:t>Emboss onto continuous/fanfold braille paper at 600 CPS (1,800 pages an hour)</w:t>
      </w:r>
      <w:r w:rsidRPr="00735FF8">
        <w:t>.</w:t>
      </w:r>
    </w:p>
    <w:p w14:paraId="1A7F9C81" w14:textId="00E2308D" w:rsidR="00A44911" w:rsidRPr="00735FF8" w:rsidRDefault="00A44911" w:rsidP="00A44911">
      <w:pPr>
        <w:pStyle w:val="BodyText"/>
        <w:numPr>
          <w:ilvl w:val="0"/>
          <w:numId w:val="2"/>
        </w:numPr>
        <w:spacing w:before="4"/>
      </w:pPr>
      <w:r w:rsidRPr="00735FF8">
        <w:t>Can emboss 10 to 42 characters per line</w:t>
      </w:r>
      <w:r w:rsidRPr="00735FF8">
        <w:t>.</w:t>
      </w:r>
    </w:p>
    <w:p w14:paraId="2CA3C1D4" w14:textId="006D3917" w:rsidR="00A44911" w:rsidRPr="00AB2952" w:rsidRDefault="00A44911" w:rsidP="00A44911">
      <w:pPr>
        <w:pStyle w:val="BodyText"/>
        <w:numPr>
          <w:ilvl w:val="0"/>
          <w:numId w:val="2"/>
        </w:numPr>
        <w:spacing w:before="4"/>
      </w:pPr>
      <w:r w:rsidRPr="00735FF8">
        <w:t>Meet National Braille Authority height and alignment standards</w:t>
      </w:r>
      <w:r w:rsidRPr="00AB2952">
        <w:t xml:space="preserve"> for braille cells</w:t>
      </w:r>
      <w:r>
        <w:t>.</w:t>
      </w:r>
    </w:p>
    <w:p w14:paraId="214FA800" w14:textId="7933CCBE" w:rsidR="00A44911" w:rsidRPr="00AB2952" w:rsidRDefault="00A44911" w:rsidP="00A449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2952">
        <w:rPr>
          <w:sz w:val="24"/>
          <w:szCs w:val="24"/>
        </w:rPr>
        <w:t>Offer backwards compatible upgrades</w:t>
      </w:r>
      <w:r>
        <w:rPr>
          <w:sz w:val="24"/>
          <w:szCs w:val="24"/>
        </w:rPr>
        <w:t>.</w:t>
      </w:r>
    </w:p>
    <w:p w14:paraId="07ECD481" w14:textId="534292DD" w:rsidR="00A44911" w:rsidRDefault="00A44911" w:rsidP="00A44911">
      <w:pPr>
        <w:pStyle w:val="BodyText"/>
        <w:numPr>
          <w:ilvl w:val="0"/>
          <w:numId w:val="2"/>
        </w:numPr>
        <w:spacing w:before="4"/>
      </w:pPr>
      <w:r w:rsidRPr="00AB2952">
        <w:t>Warranty offered for first 3 years, or up to 8,000 hours of production (offer additional 1-year dependent on paper source used)</w:t>
      </w:r>
      <w:r>
        <w:t>.</w:t>
      </w:r>
    </w:p>
    <w:p w14:paraId="23A11DCD" w14:textId="3C0900ED" w:rsidR="00A44911" w:rsidRDefault="00A44911" w:rsidP="00A44911">
      <w:pPr>
        <w:pStyle w:val="BodyText"/>
        <w:numPr>
          <w:ilvl w:val="0"/>
          <w:numId w:val="2"/>
        </w:numPr>
        <w:spacing w:before="4"/>
      </w:pPr>
      <w:r>
        <w:t>C</w:t>
      </w:r>
      <w:r w:rsidRPr="00AB2952">
        <w:t>onstructed with precision-engineered, strong metal components and fixed embossing pins to ensure no lateral movement while embossing (no wavy braille or uneven dot heights)</w:t>
      </w:r>
      <w:r>
        <w:t>.</w:t>
      </w:r>
    </w:p>
    <w:p w14:paraId="5C6C7CEA" w14:textId="0D5A6B44" w:rsidR="00446671" w:rsidRPr="00A44911" w:rsidRDefault="00A44911" w:rsidP="00A44911">
      <w:pPr>
        <w:pStyle w:val="BodyText"/>
        <w:numPr>
          <w:ilvl w:val="0"/>
          <w:numId w:val="2"/>
        </w:numPr>
        <w:spacing w:before="4"/>
      </w:pPr>
      <w:r>
        <w:t>Heavyweight metal fans to remove heat build up to machine</w:t>
      </w:r>
      <w:r>
        <w:t>.</w:t>
      </w:r>
    </w:p>
    <w:p w14:paraId="4900FF77" w14:textId="77777777" w:rsidR="00446671" w:rsidRDefault="00446671">
      <w:pPr>
        <w:pStyle w:val="BodyText"/>
        <w:spacing w:before="4"/>
        <w:rPr>
          <w:sz w:val="23"/>
        </w:rPr>
      </w:pPr>
    </w:p>
    <w:p w14:paraId="0EF5E625" w14:textId="77777777" w:rsidR="00446671" w:rsidRDefault="00446671">
      <w:pPr>
        <w:pStyle w:val="BodyText"/>
        <w:spacing w:before="2"/>
        <w:rPr>
          <w:sz w:val="22"/>
        </w:rPr>
      </w:pPr>
    </w:p>
    <w:p w14:paraId="0A8AC534" w14:textId="77777777" w:rsidR="00446671" w:rsidRDefault="0065406B">
      <w:pPr>
        <w:pStyle w:val="BodyText"/>
        <w:ind w:left="246" w:right="312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absence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qualified</w:t>
      </w:r>
      <w:r>
        <w:rPr>
          <w:spacing w:val="7"/>
        </w:rPr>
        <w:t xml:space="preserve"> </w:t>
      </w:r>
      <w:r>
        <w:t>sources,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 state’s</w:t>
      </w:r>
      <w:r>
        <w:rPr>
          <w:spacing w:val="7"/>
        </w:rPr>
        <w:t xml:space="preserve"> </w:t>
      </w:r>
      <w:r>
        <w:t>intent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sole</w:t>
      </w:r>
      <w:r>
        <w:rPr>
          <w:spacing w:val="5"/>
        </w:rPr>
        <w:t xml:space="preserve"> </w:t>
      </w:r>
      <w:r>
        <w:t>source</w:t>
      </w:r>
      <w:r>
        <w:rPr>
          <w:spacing w:val="5"/>
        </w:rPr>
        <w:t xml:space="preserve"> </w:t>
      </w:r>
      <w:r>
        <w:t>award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contract.</w:t>
      </w:r>
      <w:r>
        <w:t xml:space="preserve"> To submit capability</w:t>
      </w:r>
      <w:r>
        <w:rPr>
          <w:spacing w:val="-15"/>
        </w:rPr>
        <w:t xml:space="preserve"> </w:t>
      </w:r>
      <w:r>
        <w:t>statements 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contact:</w:t>
      </w:r>
    </w:p>
    <w:p w14:paraId="08BC125E" w14:textId="77777777" w:rsidR="00446671" w:rsidRDefault="00446671">
      <w:pPr>
        <w:pStyle w:val="BodyText"/>
        <w:spacing w:before="1"/>
        <w:rPr>
          <w:sz w:val="28"/>
        </w:rPr>
      </w:pPr>
    </w:p>
    <w:p w14:paraId="321955A6" w14:textId="5C0052C7" w:rsidR="00446671" w:rsidRPr="00940F82" w:rsidRDefault="0065406B">
      <w:pPr>
        <w:pStyle w:val="BodyText"/>
        <w:spacing w:line="249" w:lineRule="auto"/>
        <w:ind w:left="254" w:right="7319"/>
      </w:pPr>
      <w:r>
        <w:t xml:space="preserve">Name: </w:t>
      </w:r>
      <w:r w:rsidR="00940F82">
        <w:t>Joel Stanger</w:t>
      </w:r>
      <w:r>
        <w:rPr>
          <w:spacing w:val="-57"/>
        </w:rPr>
        <w:t xml:space="preserve"> </w:t>
      </w:r>
      <w:r>
        <w:t xml:space="preserve">Phone: </w:t>
      </w:r>
      <w:r w:rsidR="00940F82">
        <w:t>360.</w:t>
      </w:r>
      <w:r w:rsidR="00940F82" w:rsidRPr="00940F82">
        <w:t>349.0639</w:t>
      </w:r>
    </w:p>
    <w:p w14:paraId="10F78F4F" w14:textId="5D4029A0" w:rsidR="00446671" w:rsidRDefault="0065406B">
      <w:pPr>
        <w:pStyle w:val="BodyText"/>
        <w:spacing w:before="2"/>
        <w:ind w:left="254"/>
      </w:pPr>
      <w:r w:rsidRPr="00940F82">
        <w:t>Email:</w:t>
      </w:r>
      <w:r w:rsidRPr="00940F82">
        <w:rPr>
          <w:spacing w:val="1"/>
        </w:rPr>
        <w:t xml:space="preserve"> </w:t>
      </w:r>
      <w:r w:rsidR="00940F82" w:rsidRPr="00940F82">
        <w:t>Joel.Stanger@wssb.wa.gov</w:t>
      </w:r>
    </w:p>
    <w:sectPr w:rsidR="00446671">
      <w:type w:val="continuous"/>
      <w:pgSz w:w="12240" w:h="15840"/>
      <w:pgMar w:top="900" w:right="1320" w:bottom="280" w:left="122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B9F"/>
    <w:multiLevelType w:val="hybridMultilevel"/>
    <w:tmpl w:val="E482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13E2"/>
    <w:multiLevelType w:val="hybridMultilevel"/>
    <w:tmpl w:val="D81C5656"/>
    <w:lvl w:ilvl="0" w:tplc="7222FD1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C8D1E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17EBA3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7E76F74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A31ACF3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758A65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C0C582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78525C4E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7C4C060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num w:numId="1" w16cid:durableId="1916160713">
    <w:abstractNumId w:val="1"/>
  </w:num>
  <w:num w:numId="2" w16cid:durableId="46990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71"/>
    <w:rsid w:val="00062E2E"/>
    <w:rsid w:val="00446671"/>
    <w:rsid w:val="004669E0"/>
    <w:rsid w:val="0065406B"/>
    <w:rsid w:val="00735FF8"/>
    <w:rsid w:val="007819F5"/>
    <w:rsid w:val="00940F82"/>
    <w:rsid w:val="00A44911"/>
    <w:rsid w:val="00B77EEF"/>
    <w:rsid w:val="00E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EE9A"/>
  <w15:docId w15:val="{0404DDA2-D661-4B37-A884-2C95B70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9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0" w:lineRule="exact"/>
      <w:ind w:left="2890" w:right="287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right="3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0F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DES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creator>OFM Contract Services</dc:creator>
  <cp:lastModifiedBy>Joel Stanger</cp:lastModifiedBy>
  <cp:revision>6</cp:revision>
  <dcterms:created xsi:type="dcterms:W3CDTF">2023-03-30T20:16:00Z</dcterms:created>
  <dcterms:modified xsi:type="dcterms:W3CDTF">2023-03-30T23:54:00Z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2021-08-19T00:00:00Z</vt:filetime>
  </property>
</Properties>
</file>